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53F9" w14:textId="4F1D463F" w:rsidR="00756D9D" w:rsidRPr="008A0EF4" w:rsidRDefault="0022566C" w:rsidP="0022566C">
      <w:pPr>
        <w:spacing w:after="0" w:line="240" w:lineRule="auto"/>
        <w:rPr>
          <w:b/>
          <w:bCs/>
          <w:sz w:val="22"/>
          <w:szCs w:val="22"/>
        </w:rPr>
      </w:pPr>
      <w:r w:rsidRPr="008A0EF4">
        <w:rPr>
          <w:b/>
          <w:bCs/>
          <w:sz w:val="22"/>
          <w:szCs w:val="22"/>
        </w:rPr>
        <w:t xml:space="preserve">DRAFT Opinion Piece </w:t>
      </w:r>
      <w:r w:rsidR="00DC61E5">
        <w:rPr>
          <w:b/>
          <w:bCs/>
          <w:sz w:val="22"/>
          <w:szCs w:val="22"/>
        </w:rPr>
        <w:t xml:space="preserve">by </w:t>
      </w:r>
      <w:r w:rsidRPr="008A0EF4">
        <w:rPr>
          <w:b/>
          <w:bCs/>
          <w:sz w:val="22"/>
          <w:szCs w:val="22"/>
        </w:rPr>
        <w:t xml:space="preserve">Frank Katchatag </w:t>
      </w:r>
    </w:p>
    <w:p w14:paraId="5F0BC763" w14:textId="6DACBC08" w:rsidR="0022566C" w:rsidRPr="008A0EF4" w:rsidRDefault="00DC61E5" w:rsidP="0022566C">
      <w:pPr>
        <w:spacing w:after="0" w:line="240" w:lineRule="auto"/>
        <w:rPr>
          <w:b/>
          <w:bCs/>
          <w:sz w:val="22"/>
          <w:szCs w:val="22"/>
        </w:rPr>
      </w:pPr>
      <w:r>
        <w:rPr>
          <w:b/>
          <w:bCs/>
          <w:sz w:val="22"/>
          <w:szCs w:val="22"/>
        </w:rPr>
        <w:t xml:space="preserve">The </w:t>
      </w:r>
      <w:r w:rsidR="0022566C" w:rsidRPr="008A0EF4">
        <w:rPr>
          <w:b/>
          <w:bCs/>
          <w:sz w:val="22"/>
          <w:szCs w:val="22"/>
        </w:rPr>
        <w:t>BLM Public Lands Rule</w:t>
      </w:r>
      <w:r>
        <w:rPr>
          <w:b/>
          <w:bCs/>
          <w:sz w:val="22"/>
          <w:szCs w:val="22"/>
        </w:rPr>
        <w:t xml:space="preserve"> is Important for Tribes and Should NOT Be Undone</w:t>
      </w:r>
    </w:p>
    <w:p w14:paraId="61BF23D1" w14:textId="77777777" w:rsidR="0022566C" w:rsidRPr="0022566C" w:rsidRDefault="0022566C" w:rsidP="0022566C">
      <w:pPr>
        <w:spacing w:after="0" w:line="240" w:lineRule="auto"/>
        <w:rPr>
          <w:sz w:val="22"/>
          <w:szCs w:val="22"/>
        </w:rPr>
      </w:pPr>
    </w:p>
    <w:p w14:paraId="0667F6AC" w14:textId="54E55AF8" w:rsidR="0022566C" w:rsidRPr="0022566C" w:rsidRDefault="0022566C" w:rsidP="0022566C">
      <w:pPr>
        <w:pStyle w:val="BodyText"/>
        <w:ind w:left="-1" w:right="63"/>
        <w:rPr>
          <w:rFonts w:asciiTheme="minorHAnsi" w:hAnsiTheme="minorHAnsi"/>
          <w:sz w:val="22"/>
          <w:szCs w:val="22"/>
        </w:rPr>
      </w:pPr>
      <w:r w:rsidRPr="0022566C">
        <w:rPr>
          <w:rFonts w:asciiTheme="minorHAnsi" w:hAnsiTheme="minorHAnsi"/>
          <w:sz w:val="22"/>
          <w:szCs w:val="22"/>
        </w:rPr>
        <w:t>As Chairman of the Bering Sea Interior Tribal Commission (Tribal Commission) and its forty member Tribes, I write today to communicate the</w:t>
      </w:r>
      <w:r w:rsidRPr="0022566C">
        <w:rPr>
          <w:rFonts w:asciiTheme="minorHAnsi" w:hAnsiTheme="minorHAnsi"/>
          <w:b/>
          <w:bCs/>
          <w:sz w:val="22"/>
          <w:szCs w:val="22"/>
        </w:rPr>
        <w:t xml:space="preserve"> Tribal Commission’s strong opposition to the recension of the Public Lands Rule</w:t>
      </w:r>
      <w:r w:rsidRPr="0022566C">
        <w:rPr>
          <w:rFonts w:asciiTheme="minorHAnsi" w:hAnsiTheme="minorHAnsi"/>
          <w:sz w:val="22"/>
          <w:szCs w:val="22"/>
        </w:rPr>
        <w:t xml:space="preserve">, also known as </w:t>
      </w:r>
      <w:r w:rsidR="008A0EF4">
        <w:rPr>
          <w:rFonts w:asciiTheme="minorHAnsi" w:hAnsiTheme="minorHAnsi"/>
          <w:sz w:val="22"/>
          <w:szCs w:val="22"/>
        </w:rPr>
        <w:t>BLM’s</w:t>
      </w:r>
      <w:r w:rsidRPr="0022566C">
        <w:rPr>
          <w:rFonts w:asciiTheme="minorHAnsi" w:hAnsiTheme="minorHAnsi"/>
          <w:sz w:val="22"/>
          <w:szCs w:val="22"/>
        </w:rPr>
        <w:t xml:space="preserve"> Conservation and Landscape Health Rule. </w:t>
      </w:r>
    </w:p>
    <w:p w14:paraId="02F4EC4C" w14:textId="77777777" w:rsidR="0022566C" w:rsidRPr="0022566C" w:rsidRDefault="0022566C" w:rsidP="0022566C">
      <w:pPr>
        <w:pStyle w:val="BodyText"/>
        <w:ind w:left="-1" w:right="63"/>
        <w:rPr>
          <w:rFonts w:asciiTheme="minorHAnsi" w:hAnsiTheme="minorHAnsi"/>
          <w:sz w:val="22"/>
          <w:szCs w:val="22"/>
        </w:rPr>
      </w:pPr>
    </w:p>
    <w:p w14:paraId="101B8C97" w14:textId="586B6B9E" w:rsidR="0022566C" w:rsidRPr="0022566C" w:rsidRDefault="0022566C" w:rsidP="0022566C">
      <w:pPr>
        <w:pStyle w:val="BodyText"/>
        <w:ind w:left="-1" w:right="63"/>
        <w:rPr>
          <w:rFonts w:asciiTheme="minorHAnsi" w:hAnsiTheme="minorHAnsi"/>
          <w:sz w:val="22"/>
          <w:szCs w:val="22"/>
        </w:rPr>
      </w:pPr>
      <w:r w:rsidRPr="0022566C">
        <w:rPr>
          <w:rFonts w:asciiTheme="minorHAnsi" w:hAnsiTheme="minorHAnsi"/>
          <w:sz w:val="22"/>
          <w:szCs w:val="22"/>
        </w:rPr>
        <w:t>The rule provid</w:t>
      </w:r>
      <w:r>
        <w:rPr>
          <w:rFonts w:asciiTheme="minorHAnsi" w:hAnsiTheme="minorHAnsi"/>
          <w:sz w:val="22"/>
          <w:szCs w:val="22"/>
        </w:rPr>
        <w:t>es</w:t>
      </w:r>
      <w:r w:rsidRPr="0022566C">
        <w:rPr>
          <w:rFonts w:asciiTheme="minorHAnsi" w:hAnsiTheme="minorHAnsi"/>
          <w:sz w:val="22"/>
          <w:szCs w:val="22"/>
        </w:rPr>
        <w:t xml:space="preserve"> measures that significantly improve the </w:t>
      </w:r>
      <w:r>
        <w:rPr>
          <w:rFonts w:asciiTheme="minorHAnsi" w:hAnsiTheme="minorHAnsi"/>
          <w:sz w:val="22"/>
          <w:szCs w:val="22"/>
        </w:rPr>
        <w:t>Bureau of Land Management’s (</w:t>
      </w:r>
      <w:r w:rsidRPr="0022566C">
        <w:rPr>
          <w:rFonts w:asciiTheme="minorHAnsi" w:hAnsiTheme="minorHAnsi"/>
          <w:sz w:val="22"/>
          <w:szCs w:val="22"/>
        </w:rPr>
        <w:t>Bureau’s</w:t>
      </w:r>
      <w:r>
        <w:rPr>
          <w:rFonts w:asciiTheme="minorHAnsi" w:hAnsiTheme="minorHAnsi"/>
          <w:sz w:val="22"/>
          <w:szCs w:val="22"/>
        </w:rPr>
        <w:t>)</w:t>
      </w:r>
      <w:r w:rsidRPr="0022566C">
        <w:rPr>
          <w:rFonts w:asciiTheme="minorHAnsi" w:hAnsiTheme="minorHAnsi"/>
          <w:sz w:val="22"/>
          <w:szCs w:val="22"/>
        </w:rPr>
        <w:t xml:space="preserve"> ability to manage its public lands. </w:t>
      </w:r>
      <w:r>
        <w:rPr>
          <w:rFonts w:asciiTheme="minorHAnsi" w:hAnsiTheme="minorHAnsi"/>
          <w:sz w:val="22"/>
          <w:szCs w:val="22"/>
        </w:rPr>
        <w:t xml:space="preserve">The </w:t>
      </w:r>
      <w:r w:rsidRPr="0022566C">
        <w:rPr>
          <w:rFonts w:asciiTheme="minorHAnsi" w:hAnsiTheme="minorHAnsi"/>
          <w:sz w:val="22"/>
          <w:szCs w:val="22"/>
        </w:rPr>
        <w:t xml:space="preserve">provisions of the proposed rule providing a meaningful role for Tribes in decision making and management of public lands, promoting the designation and protection of areas of critical environmental concern, and placing conservation on equal footing with other uses in the multiple use framework are key elements the Tribal Commission supports that should be retained. </w:t>
      </w:r>
    </w:p>
    <w:p w14:paraId="664D5609" w14:textId="77777777" w:rsidR="0022566C" w:rsidRPr="0022566C" w:rsidRDefault="0022566C" w:rsidP="0022566C">
      <w:pPr>
        <w:pStyle w:val="BodyText"/>
        <w:ind w:left="-1" w:right="63"/>
        <w:rPr>
          <w:rFonts w:asciiTheme="minorHAnsi" w:hAnsiTheme="minorHAnsi"/>
          <w:sz w:val="22"/>
          <w:szCs w:val="22"/>
        </w:rPr>
      </w:pPr>
    </w:p>
    <w:p w14:paraId="43F87F72" w14:textId="77777777" w:rsidR="008A0EF4" w:rsidRDefault="0022566C" w:rsidP="008A0EF4">
      <w:pPr>
        <w:pStyle w:val="BodyText"/>
        <w:ind w:left="-1" w:right="182"/>
        <w:rPr>
          <w:rFonts w:asciiTheme="minorHAnsi" w:hAnsiTheme="minorHAnsi"/>
          <w:sz w:val="22"/>
          <w:szCs w:val="22"/>
        </w:rPr>
      </w:pPr>
      <w:r w:rsidRPr="0022566C">
        <w:rPr>
          <w:rFonts w:asciiTheme="minorHAnsi" w:hAnsiTheme="minorHAnsi"/>
          <w:sz w:val="22"/>
          <w:szCs w:val="22"/>
        </w:rPr>
        <w:t>The</w:t>
      </w:r>
      <w:r w:rsidRPr="0022566C">
        <w:rPr>
          <w:rFonts w:asciiTheme="minorHAnsi" w:hAnsiTheme="minorHAnsi"/>
          <w:spacing w:val="-3"/>
          <w:sz w:val="22"/>
          <w:szCs w:val="22"/>
        </w:rPr>
        <w:t xml:space="preserve"> </w:t>
      </w:r>
      <w:r w:rsidRPr="0022566C">
        <w:rPr>
          <w:rFonts w:asciiTheme="minorHAnsi" w:hAnsiTheme="minorHAnsi"/>
          <w:sz w:val="22"/>
          <w:szCs w:val="22"/>
        </w:rPr>
        <w:t>Tribal</w:t>
      </w:r>
      <w:r w:rsidRPr="0022566C">
        <w:rPr>
          <w:rFonts w:asciiTheme="minorHAnsi" w:hAnsiTheme="minorHAnsi"/>
          <w:spacing w:val="-2"/>
          <w:sz w:val="22"/>
          <w:szCs w:val="22"/>
        </w:rPr>
        <w:t xml:space="preserve"> </w:t>
      </w:r>
      <w:r w:rsidRPr="0022566C">
        <w:rPr>
          <w:rFonts w:asciiTheme="minorHAnsi" w:hAnsiTheme="minorHAnsi"/>
          <w:sz w:val="22"/>
          <w:szCs w:val="22"/>
        </w:rPr>
        <w:t>Commission</w:t>
      </w:r>
      <w:r w:rsidRPr="0022566C">
        <w:rPr>
          <w:rFonts w:asciiTheme="minorHAnsi" w:hAnsiTheme="minorHAnsi"/>
          <w:spacing w:val="-2"/>
          <w:sz w:val="22"/>
          <w:szCs w:val="22"/>
        </w:rPr>
        <w:t xml:space="preserve"> </w:t>
      </w:r>
      <w:r w:rsidRPr="0022566C">
        <w:rPr>
          <w:rFonts w:asciiTheme="minorHAnsi" w:hAnsiTheme="minorHAnsi"/>
          <w:sz w:val="22"/>
          <w:szCs w:val="22"/>
        </w:rPr>
        <w:t>is</w:t>
      </w:r>
      <w:r w:rsidRPr="0022566C">
        <w:rPr>
          <w:rFonts w:asciiTheme="minorHAnsi" w:hAnsiTheme="minorHAnsi"/>
          <w:spacing w:val="-2"/>
          <w:sz w:val="22"/>
          <w:szCs w:val="22"/>
        </w:rPr>
        <w:t xml:space="preserve"> </w:t>
      </w:r>
      <w:r w:rsidRPr="0022566C">
        <w:rPr>
          <w:rFonts w:asciiTheme="minorHAnsi" w:hAnsiTheme="minorHAnsi"/>
          <w:sz w:val="22"/>
          <w:szCs w:val="22"/>
        </w:rPr>
        <w:t>a</w:t>
      </w:r>
      <w:r w:rsidRPr="0022566C">
        <w:rPr>
          <w:rFonts w:asciiTheme="minorHAnsi" w:hAnsiTheme="minorHAnsi"/>
          <w:spacing w:val="-3"/>
          <w:sz w:val="22"/>
          <w:szCs w:val="22"/>
        </w:rPr>
        <w:t xml:space="preserve"> </w:t>
      </w:r>
      <w:r w:rsidRPr="0022566C">
        <w:rPr>
          <w:rFonts w:asciiTheme="minorHAnsi" w:hAnsiTheme="minorHAnsi"/>
          <w:sz w:val="22"/>
          <w:szCs w:val="22"/>
        </w:rPr>
        <w:t>consortium</w:t>
      </w:r>
      <w:r w:rsidRPr="0022566C">
        <w:rPr>
          <w:rFonts w:asciiTheme="minorHAnsi" w:hAnsiTheme="minorHAnsi"/>
          <w:spacing w:val="-2"/>
          <w:sz w:val="22"/>
          <w:szCs w:val="22"/>
        </w:rPr>
        <w:t xml:space="preserve"> </w:t>
      </w:r>
      <w:r w:rsidRPr="0022566C">
        <w:rPr>
          <w:rFonts w:asciiTheme="minorHAnsi" w:hAnsiTheme="minorHAnsi"/>
          <w:sz w:val="22"/>
          <w:szCs w:val="22"/>
        </w:rPr>
        <w:t>of</w:t>
      </w:r>
      <w:r w:rsidRPr="0022566C">
        <w:rPr>
          <w:rFonts w:asciiTheme="minorHAnsi" w:hAnsiTheme="minorHAnsi"/>
          <w:spacing w:val="-3"/>
          <w:sz w:val="22"/>
          <w:szCs w:val="22"/>
        </w:rPr>
        <w:t xml:space="preserve"> forty </w:t>
      </w:r>
      <w:r w:rsidRPr="0022566C">
        <w:rPr>
          <w:rFonts w:asciiTheme="minorHAnsi" w:hAnsiTheme="minorHAnsi"/>
          <w:sz w:val="22"/>
          <w:szCs w:val="22"/>
        </w:rPr>
        <w:t>federally</w:t>
      </w:r>
      <w:r w:rsidRPr="0022566C">
        <w:rPr>
          <w:rFonts w:asciiTheme="minorHAnsi" w:hAnsiTheme="minorHAnsi"/>
          <w:spacing w:val="-2"/>
          <w:sz w:val="22"/>
          <w:szCs w:val="22"/>
        </w:rPr>
        <w:t xml:space="preserve"> </w:t>
      </w:r>
      <w:r w:rsidRPr="0022566C">
        <w:rPr>
          <w:rFonts w:asciiTheme="minorHAnsi" w:hAnsiTheme="minorHAnsi"/>
          <w:sz w:val="22"/>
          <w:szCs w:val="22"/>
        </w:rPr>
        <w:t>recognized</w:t>
      </w:r>
      <w:r w:rsidRPr="0022566C">
        <w:rPr>
          <w:rFonts w:asciiTheme="minorHAnsi" w:hAnsiTheme="minorHAnsi"/>
          <w:spacing w:val="-2"/>
          <w:sz w:val="22"/>
          <w:szCs w:val="22"/>
        </w:rPr>
        <w:t xml:space="preserve"> Alaska </w:t>
      </w:r>
      <w:r w:rsidRPr="0022566C">
        <w:rPr>
          <w:rFonts w:asciiTheme="minorHAnsi" w:hAnsiTheme="minorHAnsi"/>
          <w:sz w:val="22"/>
          <w:szCs w:val="22"/>
        </w:rPr>
        <w:t>Tribes</w:t>
      </w:r>
      <w:r w:rsidRPr="0022566C">
        <w:rPr>
          <w:rFonts w:asciiTheme="minorHAnsi" w:hAnsiTheme="minorHAnsi"/>
          <w:spacing w:val="-2"/>
          <w:sz w:val="22"/>
          <w:szCs w:val="22"/>
        </w:rPr>
        <w:t xml:space="preserve"> </w:t>
      </w:r>
      <w:r w:rsidRPr="0022566C">
        <w:rPr>
          <w:rFonts w:asciiTheme="minorHAnsi" w:hAnsiTheme="minorHAnsi"/>
          <w:sz w:val="22"/>
          <w:szCs w:val="22"/>
        </w:rPr>
        <w:t>working</w:t>
      </w:r>
      <w:r w:rsidRPr="0022566C">
        <w:rPr>
          <w:rFonts w:asciiTheme="minorHAnsi" w:hAnsiTheme="minorHAnsi"/>
          <w:spacing w:val="-2"/>
          <w:sz w:val="22"/>
          <w:szCs w:val="22"/>
        </w:rPr>
        <w:t xml:space="preserve"> </w:t>
      </w:r>
      <w:r w:rsidRPr="0022566C">
        <w:rPr>
          <w:rFonts w:asciiTheme="minorHAnsi" w:hAnsiTheme="minorHAnsi"/>
          <w:sz w:val="22"/>
          <w:szCs w:val="22"/>
        </w:rPr>
        <w:t>in</w:t>
      </w:r>
      <w:r w:rsidRPr="0022566C">
        <w:rPr>
          <w:rFonts w:asciiTheme="minorHAnsi" w:hAnsiTheme="minorHAnsi"/>
          <w:spacing w:val="-2"/>
          <w:sz w:val="22"/>
          <w:szCs w:val="22"/>
        </w:rPr>
        <w:t xml:space="preserve"> </w:t>
      </w:r>
      <w:r w:rsidRPr="0022566C">
        <w:rPr>
          <w:rFonts w:asciiTheme="minorHAnsi" w:hAnsiTheme="minorHAnsi"/>
          <w:sz w:val="22"/>
          <w:szCs w:val="22"/>
        </w:rPr>
        <w:t>unity to</w:t>
      </w:r>
      <w:r w:rsidRPr="0022566C">
        <w:rPr>
          <w:rFonts w:asciiTheme="minorHAnsi" w:hAnsiTheme="minorHAnsi"/>
          <w:spacing w:val="-1"/>
          <w:sz w:val="22"/>
          <w:szCs w:val="22"/>
        </w:rPr>
        <w:t xml:space="preserve"> </w:t>
      </w:r>
      <w:r w:rsidRPr="0022566C">
        <w:rPr>
          <w:rFonts w:asciiTheme="minorHAnsi" w:hAnsiTheme="minorHAnsi"/>
          <w:sz w:val="22"/>
          <w:szCs w:val="22"/>
        </w:rPr>
        <w:t>protect</w:t>
      </w:r>
      <w:r w:rsidRPr="0022566C">
        <w:rPr>
          <w:rFonts w:asciiTheme="minorHAnsi" w:hAnsiTheme="minorHAnsi"/>
          <w:spacing w:val="-1"/>
          <w:sz w:val="22"/>
          <w:szCs w:val="22"/>
        </w:rPr>
        <w:t xml:space="preserve"> </w:t>
      </w:r>
      <w:r w:rsidRPr="0022566C">
        <w:rPr>
          <w:rFonts w:asciiTheme="minorHAnsi" w:hAnsiTheme="minorHAnsi"/>
          <w:sz w:val="22"/>
          <w:szCs w:val="22"/>
        </w:rPr>
        <w:t>our</w:t>
      </w:r>
      <w:r w:rsidRPr="0022566C">
        <w:rPr>
          <w:rFonts w:asciiTheme="minorHAnsi" w:hAnsiTheme="minorHAnsi"/>
          <w:spacing w:val="-2"/>
          <w:sz w:val="22"/>
          <w:szCs w:val="22"/>
        </w:rPr>
        <w:t xml:space="preserve"> </w:t>
      </w:r>
      <w:r w:rsidRPr="0022566C">
        <w:rPr>
          <w:rFonts w:asciiTheme="minorHAnsi" w:hAnsiTheme="minorHAnsi"/>
          <w:sz w:val="22"/>
          <w:szCs w:val="22"/>
        </w:rPr>
        <w:t>traditional ways</w:t>
      </w:r>
      <w:r w:rsidRPr="0022566C">
        <w:rPr>
          <w:rFonts w:asciiTheme="minorHAnsi" w:hAnsiTheme="minorHAnsi"/>
          <w:spacing w:val="-1"/>
          <w:sz w:val="22"/>
          <w:szCs w:val="22"/>
        </w:rPr>
        <w:t xml:space="preserve"> </w:t>
      </w:r>
      <w:r w:rsidRPr="0022566C">
        <w:rPr>
          <w:rFonts w:asciiTheme="minorHAnsi" w:hAnsiTheme="minorHAnsi"/>
          <w:sz w:val="22"/>
          <w:szCs w:val="22"/>
        </w:rPr>
        <w:t>of</w:t>
      </w:r>
      <w:r w:rsidRPr="0022566C">
        <w:rPr>
          <w:rFonts w:asciiTheme="minorHAnsi" w:hAnsiTheme="minorHAnsi"/>
          <w:spacing w:val="-2"/>
          <w:sz w:val="22"/>
          <w:szCs w:val="22"/>
        </w:rPr>
        <w:t xml:space="preserve"> </w:t>
      </w:r>
      <w:r w:rsidRPr="0022566C">
        <w:rPr>
          <w:rFonts w:asciiTheme="minorHAnsi" w:hAnsiTheme="minorHAnsi"/>
          <w:sz w:val="22"/>
          <w:szCs w:val="22"/>
        </w:rPr>
        <w:t>life</w:t>
      </w:r>
      <w:r w:rsidRPr="0022566C">
        <w:rPr>
          <w:rFonts w:asciiTheme="minorHAnsi" w:hAnsiTheme="minorHAnsi"/>
          <w:spacing w:val="-2"/>
          <w:sz w:val="22"/>
          <w:szCs w:val="22"/>
        </w:rPr>
        <w:t xml:space="preserve"> </w:t>
      </w:r>
      <w:r w:rsidRPr="0022566C">
        <w:rPr>
          <w:rFonts w:asciiTheme="minorHAnsi" w:hAnsiTheme="minorHAnsi"/>
          <w:sz w:val="22"/>
          <w:szCs w:val="22"/>
        </w:rPr>
        <w:t>by advocating</w:t>
      </w:r>
      <w:r w:rsidRPr="0022566C">
        <w:rPr>
          <w:rFonts w:asciiTheme="minorHAnsi" w:hAnsiTheme="minorHAnsi"/>
          <w:spacing w:val="-1"/>
          <w:sz w:val="22"/>
          <w:szCs w:val="22"/>
        </w:rPr>
        <w:t xml:space="preserve"> </w:t>
      </w:r>
      <w:r w:rsidRPr="0022566C">
        <w:rPr>
          <w:rFonts w:asciiTheme="minorHAnsi" w:hAnsiTheme="minorHAnsi"/>
          <w:sz w:val="22"/>
          <w:szCs w:val="22"/>
        </w:rPr>
        <w:t>for</w:t>
      </w:r>
      <w:r w:rsidRPr="0022566C">
        <w:rPr>
          <w:rFonts w:asciiTheme="minorHAnsi" w:hAnsiTheme="minorHAnsi"/>
          <w:spacing w:val="-2"/>
          <w:sz w:val="22"/>
          <w:szCs w:val="22"/>
        </w:rPr>
        <w:t xml:space="preserve"> </w:t>
      </w:r>
      <w:r w:rsidRPr="0022566C">
        <w:rPr>
          <w:rFonts w:asciiTheme="minorHAnsi" w:hAnsiTheme="minorHAnsi"/>
          <w:sz w:val="22"/>
          <w:szCs w:val="22"/>
        </w:rPr>
        <w:t>land</w:t>
      </w:r>
      <w:r w:rsidRPr="0022566C">
        <w:rPr>
          <w:rFonts w:asciiTheme="minorHAnsi" w:hAnsiTheme="minorHAnsi"/>
          <w:spacing w:val="-1"/>
          <w:sz w:val="22"/>
          <w:szCs w:val="22"/>
        </w:rPr>
        <w:t xml:space="preserve"> </w:t>
      </w:r>
      <w:r w:rsidRPr="0022566C">
        <w:rPr>
          <w:rFonts w:asciiTheme="minorHAnsi" w:hAnsiTheme="minorHAnsi"/>
          <w:sz w:val="22"/>
          <w:szCs w:val="22"/>
        </w:rPr>
        <w:t>use</w:t>
      </w:r>
      <w:r w:rsidRPr="0022566C">
        <w:rPr>
          <w:rFonts w:asciiTheme="minorHAnsi" w:hAnsiTheme="minorHAnsi"/>
          <w:spacing w:val="-2"/>
          <w:sz w:val="22"/>
          <w:szCs w:val="22"/>
        </w:rPr>
        <w:t xml:space="preserve"> </w:t>
      </w:r>
      <w:r w:rsidRPr="0022566C">
        <w:rPr>
          <w:rFonts w:asciiTheme="minorHAnsi" w:hAnsiTheme="minorHAnsi"/>
          <w:sz w:val="22"/>
          <w:szCs w:val="22"/>
        </w:rPr>
        <w:t>planning</w:t>
      </w:r>
      <w:r w:rsidRPr="0022566C">
        <w:rPr>
          <w:rFonts w:asciiTheme="minorHAnsi" w:hAnsiTheme="minorHAnsi"/>
          <w:spacing w:val="-1"/>
          <w:sz w:val="22"/>
          <w:szCs w:val="22"/>
        </w:rPr>
        <w:t xml:space="preserve"> </w:t>
      </w:r>
      <w:r w:rsidRPr="0022566C">
        <w:rPr>
          <w:rFonts w:asciiTheme="minorHAnsi" w:hAnsiTheme="minorHAnsi"/>
          <w:sz w:val="22"/>
          <w:szCs w:val="22"/>
        </w:rPr>
        <w:t>processes and</w:t>
      </w:r>
      <w:r w:rsidRPr="0022566C">
        <w:rPr>
          <w:rFonts w:asciiTheme="minorHAnsi" w:hAnsiTheme="minorHAnsi"/>
          <w:spacing w:val="-1"/>
          <w:sz w:val="22"/>
          <w:szCs w:val="22"/>
        </w:rPr>
        <w:t xml:space="preserve"> </w:t>
      </w:r>
      <w:r w:rsidRPr="0022566C">
        <w:rPr>
          <w:rFonts w:asciiTheme="minorHAnsi" w:hAnsiTheme="minorHAnsi"/>
          <w:sz w:val="22"/>
          <w:szCs w:val="22"/>
        </w:rPr>
        <w:t>natural resource management decisions that reflect our voices and values. The Tribal Commission and our</w:t>
      </w:r>
      <w:r w:rsidRPr="0022566C">
        <w:rPr>
          <w:rFonts w:asciiTheme="minorHAnsi" w:hAnsiTheme="minorHAnsi"/>
          <w:spacing w:val="-4"/>
          <w:sz w:val="22"/>
          <w:szCs w:val="22"/>
        </w:rPr>
        <w:t xml:space="preserve"> </w:t>
      </w:r>
      <w:r w:rsidRPr="0022566C">
        <w:rPr>
          <w:rFonts w:asciiTheme="minorHAnsi" w:hAnsiTheme="minorHAnsi"/>
          <w:sz w:val="22"/>
          <w:szCs w:val="22"/>
        </w:rPr>
        <w:t>member</w:t>
      </w:r>
      <w:r w:rsidRPr="0022566C">
        <w:rPr>
          <w:rFonts w:asciiTheme="minorHAnsi" w:hAnsiTheme="minorHAnsi"/>
          <w:spacing w:val="-4"/>
          <w:sz w:val="22"/>
          <w:szCs w:val="22"/>
        </w:rPr>
        <w:t xml:space="preserve"> </w:t>
      </w:r>
      <w:r w:rsidRPr="0022566C">
        <w:rPr>
          <w:rFonts w:asciiTheme="minorHAnsi" w:hAnsiTheme="minorHAnsi"/>
          <w:sz w:val="22"/>
          <w:szCs w:val="22"/>
        </w:rPr>
        <w:t>Tribes</w:t>
      </w:r>
      <w:r w:rsidRPr="0022566C">
        <w:rPr>
          <w:rFonts w:asciiTheme="minorHAnsi" w:hAnsiTheme="minorHAnsi"/>
          <w:spacing w:val="-3"/>
          <w:sz w:val="22"/>
          <w:szCs w:val="22"/>
        </w:rPr>
        <w:t xml:space="preserve"> </w:t>
      </w:r>
      <w:r w:rsidRPr="0022566C">
        <w:rPr>
          <w:rFonts w:asciiTheme="minorHAnsi" w:hAnsiTheme="minorHAnsi"/>
          <w:sz w:val="22"/>
          <w:szCs w:val="22"/>
        </w:rPr>
        <w:t>have</w:t>
      </w:r>
      <w:r w:rsidRPr="0022566C">
        <w:rPr>
          <w:rFonts w:asciiTheme="minorHAnsi" w:hAnsiTheme="minorHAnsi"/>
          <w:spacing w:val="-2"/>
          <w:sz w:val="22"/>
          <w:szCs w:val="22"/>
        </w:rPr>
        <w:t xml:space="preserve"> </w:t>
      </w:r>
      <w:r w:rsidRPr="0022566C">
        <w:rPr>
          <w:rFonts w:asciiTheme="minorHAnsi" w:hAnsiTheme="minorHAnsi"/>
          <w:sz w:val="22"/>
          <w:szCs w:val="22"/>
        </w:rPr>
        <w:t>extensively</w:t>
      </w:r>
      <w:r w:rsidRPr="0022566C">
        <w:rPr>
          <w:rFonts w:asciiTheme="minorHAnsi" w:hAnsiTheme="minorHAnsi"/>
          <w:spacing w:val="-3"/>
          <w:sz w:val="22"/>
          <w:szCs w:val="22"/>
        </w:rPr>
        <w:t xml:space="preserve"> </w:t>
      </w:r>
      <w:r w:rsidRPr="0022566C">
        <w:rPr>
          <w:rFonts w:asciiTheme="minorHAnsi" w:hAnsiTheme="minorHAnsi"/>
          <w:sz w:val="22"/>
          <w:szCs w:val="22"/>
        </w:rPr>
        <w:t>engaged</w:t>
      </w:r>
      <w:r w:rsidRPr="0022566C">
        <w:rPr>
          <w:rFonts w:asciiTheme="minorHAnsi" w:hAnsiTheme="minorHAnsi"/>
          <w:spacing w:val="-3"/>
          <w:sz w:val="22"/>
          <w:szCs w:val="22"/>
        </w:rPr>
        <w:t xml:space="preserve"> </w:t>
      </w:r>
      <w:r w:rsidRPr="0022566C">
        <w:rPr>
          <w:rFonts w:asciiTheme="minorHAnsi" w:hAnsiTheme="minorHAnsi"/>
          <w:sz w:val="22"/>
          <w:szCs w:val="22"/>
        </w:rPr>
        <w:t>in</w:t>
      </w:r>
      <w:r w:rsidRPr="0022566C">
        <w:rPr>
          <w:rFonts w:asciiTheme="minorHAnsi" w:hAnsiTheme="minorHAnsi"/>
          <w:spacing w:val="-3"/>
          <w:sz w:val="22"/>
          <w:szCs w:val="22"/>
        </w:rPr>
        <w:t xml:space="preserve"> </w:t>
      </w:r>
      <w:r w:rsidRPr="0022566C">
        <w:rPr>
          <w:rFonts w:asciiTheme="minorHAnsi" w:hAnsiTheme="minorHAnsi"/>
          <w:sz w:val="22"/>
          <w:szCs w:val="22"/>
        </w:rPr>
        <w:t>the</w:t>
      </w:r>
      <w:r w:rsidRPr="0022566C">
        <w:rPr>
          <w:rFonts w:asciiTheme="minorHAnsi" w:hAnsiTheme="minorHAnsi"/>
          <w:spacing w:val="-4"/>
          <w:sz w:val="22"/>
          <w:szCs w:val="22"/>
        </w:rPr>
        <w:t xml:space="preserve"> </w:t>
      </w:r>
      <w:r w:rsidRPr="0022566C">
        <w:rPr>
          <w:rFonts w:asciiTheme="minorHAnsi" w:hAnsiTheme="minorHAnsi"/>
          <w:sz w:val="22"/>
          <w:szCs w:val="22"/>
        </w:rPr>
        <w:t>Bureau’s</w:t>
      </w:r>
      <w:r w:rsidRPr="0022566C">
        <w:rPr>
          <w:rFonts w:asciiTheme="minorHAnsi" w:hAnsiTheme="minorHAnsi"/>
          <w:spacing w:val="-3"/>
          <w:sz w:val="22"/>
          <w:szCs w:val="22"/>
        </w:rPr>
        <w:t xml:space="preserve"> </w:t>
      </w:r>
      <w:r w:rsidRPr="0022566C">
        <w:rPr>
          <w:rFonts w:asciiTheme="minorHAnsi" w:hAnsiTheme="minorHAnsi"/>
          <w:sz w:val="22"/>
          <w:szCs w:val="22"/>
        </w:rPr>
        <w:t>planning</w:t>
      </w:r>
      <w:r w:rsidRPr="0022566C">
        <w:rPr>
          <w:rFonts w:asciiTheme="minorHAnsi" w:hAnsiTheme="minorHAnsi"/>
          <w:spacing w:val="-3"/>
          <w:sz w:val="22"/>
          <w:szCs w:val="22"/>
        </w:rPr>
        <w:t xml:space="preserve"> </w:t>
      </w:r>
      <w:r w:rsidRPr="0022566C">
        <w:rPr>
          <w:rFonts w:asciiTheme="minorHAnsi" w:hAnsiTheme="minorHAnsi"/>
          <w:sz w:val="22"/>
          <w:szCs w:val="22"/>
        </w:rPr>
        <w:t>processes</w:t>
      </w:r>
      <w:r w:rsidRPr="0022566C">
        <w:rPr>
          <w:rFonts w:asciiTheme="minorHAnsi" w:hAnsiTheme="minorHAnsi"/>
          <w:spacing w:val="-3"/>
          <w:sz w:val="22"/>
          <w:szCs w:val="22"/>
        </w:rPr>
        <w:t xml:space="preserve"> </w:t>
      </w:r>
      <w:r w:rsidRPr="0022566C">
        <w:rPr>
          <w:rFonts w:asciiTheme="minorHAnsi" w:hAnsiTheme="minorHAnsi"/>
          <w:sz w:val="22"/>
          <w:szCs w:val="22"/>
        </w:rPr>
        <w:t>for</w:t>
      </w:r>
      <w:r w:rsidRPr="0022566C">
        <w:rPr>
          <w:rFonts w:asciiTheme="minorHAnsi" w:hAnsiTheme="minorHAnsi"/>
          <w:spacing w:val="-4"/>
          <w:sz w:val="22"/>
          <w:szCs w:val="22"/>
        </w:rPr>
        <w:t xml:space="preserve"> </w:t>
      </w:r>
      <w:r w:rsidRPr="0022566C">
        <w:rPr>
          <w:rFonts w:asciiTheme="minorHAnsi" w:hAnsiTheme="minorHAnsi"/>
          <w:sz w:val="22"/>
          <w:szCs w:val="22"/>
        </w:rPr>
        <w:t>the</w:t>
      </w:r>
      <w:r w:rsidRPr="0022566C">
        <w:rPr>
          <w:rFonts w:asciiTheme="minorHAnsi" w:hAnsiTheme="minorHAnsi"/>
          <w:spacing w:val="-4"/>
          <w:sz w:val="22"/>
          <w:szCs w:val="22"/>
        </w:rPr>
        <w:t xml:space="preserve"> </w:t>
      </w:r>
      <w:r w:rsidRPr="0022566C">
        <w:rPr>
          <w:rFonts w:asciiTheme="minorHAnsi" w:hAnsiTheme="minorHAnsi"/>
          <w:sz w:val="22"/>
          <w:szCs w:val="22"/>
        </w:rPr>
        <w:t>Bering Sea-Western Interior and Central Yukon planning areas. Between the two planning areas, the Bureau manages over twenty-six million acres of land encompassing our member Tribes’ traditional homelands and areas that continue to sustain our subsistence-based ways of life.</w:t>
      </w:r>
    </w:p>
    <w:p w14:paraId="78F9342F" w14:textId="77777777" w:rsidR="008A0EF4" w:rsidRDefault="008A0EF4" w:rsidP="008A0EF4">
      <w:pPr>
        <w:pStyle w:val="BodyText"/>
        <w:ind w:left="-1" w:right="182"/>
        <w:rPr>
          <w:rFonts w:asciiTheme="minorHAnsi" w:hAnsiTheme="minorHAnsi"/>
          <w:sz w:val="22"/>
          <w:szCs w:val="22"/>
        </w:rPr>
      </w:pPr>
    </w:p>
    <w:p w14:paraId="3B5661C1" w14:textId="4184AC9E" w:rsidR="0022566C" w:rsidRPr="008A0EF4" w:rsidRDefault="0022566C" w:rsidP="008A0EF4">
      <w:pPr>
        <w:pStyle w:val="BodyText"/>
        <w:ind w:left="-1" w:right="182"/>
        <w:rPr>
          <w:rFonts w:asciiTheme="minorHAnsi" w:hAnsiTheme="minorHAnsi"/>
          <w:sz w:val="22"/>
          <w:szCs w:val="22"/>
        </w:rPr>
      </w:pPr>
      <w:r w:rsidRPr="0022566C">
        <w:rPr>
          <w:rFonts w:asciiTheme="minorHAnsi" w:hAnsiTheme="minorHAnsi"/>
          <w:sz w:val="22"/>
          <w:szCs w:val="22"/>
        </w:rPr>
        <w:t>There must be a meaningful</w:t>
      </w:r>
      <w:r w:rsidRPr="0022566C">
        <w:rPr>
          <w:rFonts w:asciiTheme="minorHAnsi" w:hAnsiTheme="minorHAnsi"/>
          <w:spacing w:val="-1"/>
          <w:sz w:val="22"/>
          <w:szCs w:val="22"/>
        </w:rPr>
        <w:t xml:space="preserve"> </w:t>
      </w:r>
      <w:r w:rsidRPr="0022566C">
        <w:rPr>
          <w:rFonts w:asciiTheme="minorHAnsi" w:hAnsiTheme="minorHAnsi"/>
          <w:sz w:val="22"/>
          <w:szCs w:val="22"/>
        </w:rPr>
        <w:t>role</w:t>
      </w:r>
      <w:r w:rsidRPr="0022566C">
        <w:rPr>
          <w:rFonts w:asciiTheme="minorHAnsi" w:hAnsiTheme="minorHAnsi"/>
          <w:spacing w:val="-2"/>
          <w:sz w:val="22"/>
          <w:szCs w:val="22"/>
        </w:rPr>
        <w:t xml:space="preserve"> </w:t>
      </w:r>
      <w:r w:rsidRPr="0022566C">
        <w:rPr>
          <w:rFonts w:asciiTheme="minorHAnsi" w:hAnsiTheme="minorHAnsi"/>
          <w:sz w:val="22"/>
          <w:szCs w:val="22"/>
        </w:rPr>
        <w:t>for</w:t>
      </w:r>
      <w:r w:rsidRPr="0022566C">
        <w:rPr>
          <w:rFonts w:asciiTheme="minorHAnsi" w:hAnsiTheme="minorHAnsi"/>
          <w:spacing w:val="-2"/>
          <w:sz w:val="22"/>
          <w:szCs w:val="22"/>
        </w:rPr>
        <w:t xml:space="preserve"> </w:t>
      </w:r>
      <w:r>
        <w:rPr>
          <w:rFonts w:asciiTheme="minorHAnsi" w:hAnsiTheme="minorHAnsi"/>
          <w:spacing w:val="-2"/>
          <w:sz w:val="22"/>
          <w:szCs w:val="22"/>
        </w:rPr>
        <w:t xml:space="preserve">Alaska’s 229 </w:t>
      </w:r>
      <w:r w:rsidRPr="0022566C">
        <w:rPr>
          <w:rFonts w:asciiTheme="minorHAnsi" w:hAnsiTheme="minorHAnsi"/>
          <w:sz w:val="22"/>
          <w:szCs w:val="22"/>
        </w:rPr>
        <w:t>Tribes</w:t>
      </w:r>
      <w:r w:rsidRPr="0022566C">
        <w:rPr>
          <w:rFonts w:asciiTheme="minorHAnsi" w:hAnsiTheme="minorHAnsi"/>
          <w:spacing w:val="-1"/>
          <w:sz w:val="22"/>
          <w:szCs w:val="22"/>
        </w:rPr>
        <w:t xml:space="preserve"> </w:t>
      </w:r>
      <w:r w:rsidRPr="0022566C">
        <w:rPr>
          <w:rFonts w:asciiTheme="minorHAnsi" w:hAnsiTheme="minorHAnsi"/>
          <w:sz w:val="22"/>
          <w:szCs w:val="22"/>
        </w:rPr>
        <w:t>in</w:t>
      </w:r>
      <w:r w:rsidRPr="0022566C">
        <w:rPr>
          <w:rFonts w:asciiTheme="minorHAnsi" w:hAnsiTheme="minorHAnsi"/>
          <w:spacing w:val="-1"/>
          <w:sz w:val="22"/>
          <w:szCs w:val="22"/>
        </w:rPr>
        <w:t xml:space="preserve"> </w:t>
      </w:r>
      <w:r w:rsidRPr="0022566C">
        <w:rPr>
          <w:rFonts w:asciiTheme="minorHAnsi" w:hAnsiTheme="minorHAnsi"/>
          <w:sz w:val="22"/>
          <w:szCs w:val="22"/>
        </w:rPr>
        <w:t>decision</w:t>
      </w:r>
      <w:r w:rsidRPr="0022566C">
        <w:rPr>
          <w:rFonts w:asciiTheme="minorHAnsi" w:hAnsiTheme="minorHAnsi"/>
          <w:spacing w:val="-2"/>
          <w:sz w:val="22"/>
          <w:szCs w:val="22"/>
        </w:rPr>
        <w:t xml:space="preserve"> </w:t>
      </w:r>
      <w:r w:rsidRPr="0022566C">
        <w:rPr>
          <w:rFonts w:asciiTheme="minorHAnsi" w:hAnsiTheme="minorHAnsi"/>
          <w:sz w:val="22"/>
          <w:szCs w:val="22"/>
        </w:rPr>
        <w:t>making</w:t>
      </w:r>
      <w:r w:rsidRPr="0022566C">
        <w:rPr>
          <w:rFonts w:asciiTheme="minorHAnsi" w:hAnsiTheme="minorHAnsi"/>
          <w:spacing w:val="-4"/>
          <w:sz w:val="22"/>
          <w:szCs w:val="22"/>
        </w:rPr>
        <w:t xml:space="preserve"> </w:t>
      </w:r>
      <w:r w:rsidRPr="0022566C">
        <w:rPr>
          <w:rFonts w:asciiTheme="minorHAnsi" w:hAnsiTheme="minorHAnsi"/>
          <w:sz w:val="22"/>
          <w:szCs w:val="22"/>
        </w:rPr>
        <w:t>and</w:t>
      </w:r>
      <w:r w:rsidRPr="0022566C">
        <w:rPr>
          <w:rFonts w:asciiTheme="minorHAnsi" w:hAnsiTheme="minorHAnsi"/>
          <w:spacing w:val="-1"/>
          <w:sz w:val="22"/>
          <w:szCs w:val="22"/>
        </w:rPr>
        <w:t xml:space="preserve"> </w:t>
      </w:r>
      <w:r w:rsidRPr="0022566C">
        <w:rPr>
          <w:rFonts w:asciiTheme="minorHAnsi" w:hAnsiTheme="minorHAnsi"/>
          <w:sz w:val="22"/>
          <w:szCs w:val="22"/>
        </w:rPr>
        <w:t>management</w:t>
      </w:r>
      <w:r w:rsidRPr="0022566C">
        <w:rPr>
          <w:rFonts w:asciiTheme="minorHAnsi" w:hAnsiTheme="minorHAnsi"/>
          <w:spacing w:val="-2"/>
          <w:sz w:val="22"/>
          <w:szCs w:val="22"/>
        </w:rPr>
        <w:t xml:space="preserve"> </w:t>
      </w:r>
      <w:r w:rsidRPr="0022566C">
        <w:rPr>
          <w:rFonts w:asciiTheme="minorHAnsi" w:hAnsiTheme="minorHAnsi"/>
          <w:sz w:val="22"/>
          <w:szCs w:val="22"/>
        </w:rPr>
        <w:t>of</w:t>
      </w:r>
      <w:r w:rsidRPr="0022566C">
        <w:rPr>
          <w:rFonts w:asciiTheme="minorHAnsi" w:hAnsiTheme="minorHAnsi"/>
          <w:spacing w:val="-2"/>
          <w:sz w:val="22"/>
          <w:szCs w:val="22"/>
        </w:rPr>
        <w:t xml:space="preserve"> </w:t>
      </w:r>
      <w:r w:rsidRPr="0022566C">
        <w:rPr>
          <w:rFonts w:asciiTheme="minorHAnsi" w:hAnsiTheme="minorHAnsi"/>
          <w:sz w:val="22"/>
          <w:szCs w:val="22"/>
        </w:rPr>
        <w:t>public</w:t>
      </w:r>
      <w:r w:rsidRPr="0022566C">
        <w:rPr>
          <w:rFonts w:asciiTheme="minorHAnsi" w:hAnsiTheme="minorHAnsi"/>
          <w:spacing w:val="-1"/>
          <w:sz w:val="22"/>
          <w:szCs w:val="22"/>
        </w:rPr>
        <w:t xml:space="preserve"> </w:t>
      </w:r>
      <w:r w:rsidRPr="0022566C">
        <w:rPr>
          <w:rFonts w:asciiTheme="minorHAnsi" w:hAnsiTheme="minorHAnsi"/>
          <w:spacing w:val="-2"/>
          <w:sz w:val="22"/>
          <w:szCs w:val="22"/>
        </w:rPr>
        <w:t>lands</w:t>
      </w:r>
      <w:r>
        <w:rPr>
          <w:rFonts w:asciiTheme="minorHAnsi" w:hAnsiTheme="minorHAnsi"/>
          <w:spacing w:val="-2"/>
          <w:sz w:val="22"/>
          <w:szCs w:val="22"/>
        </w:rPr>
        <w:t xml:space="preserve"> in our state</w:t>
      </w:r>
      <w:r w:rsidRPr="0022566C">
        <w:rPr>
          <w:rFonts w:asciiTheme="minorHAnsi" w:hAnsiTheme="minorHAnsi"/>
          <w:spacing w:val="-2"/>
          <w:sz w:val="22"/>
          <w:szCs w:val="22"/>
        </w:rPr>
        <w:t xml:space="preserve">. </w:t>
      </w:r>
      <w:r w:rsidRPr="0022566C">
        <w:rPr>
          <w:rFonts w:asciiTheme="minorHAnsi" w:hAnsiTheme="minorHAnsi"/>
          <w:sz w:val="22"/>
          <w:szCs w:val="22"/>
        </w:rPr>
        <w:t>The Bureau, like all federal agencies, has a trust responsibility to Tribes and must engage in meaningful government-to-government consultation when making decisions that may affect Tribal interests. The Bureau must manage public lands in a manner that fulfills this trust obligation and is consistent with the Nation-to-Nation relationship between Tribes and the</w:t>
      </w:r>
      <w:r w:rsidRPr="0022566C">
        <w:rPr>
          <w:rFonts w:asciiTheme="minorHAnsi" w:hAnsiTheme="minorHAnsi"/>
          <w:spacing w:val="40"/>
          <w:sz w:val="22"/>
          <w:szCs w:val="22"/>
        </w:rPr>
        <w:t xml:space="preserve"> </w:t>
      </w:r>
      <w:r w:rsidRPr="0022566C">
        <w:rPr>
          <w:rFonts w:asciiTheme="minorHAnsi" w:hAnsiTheme="minorHAnsi"/>
          <w:sz w:val="22"/>
          <w:szCs w:val="22"/>
        </w:rPr>
        <w:t>United</w:t>
      </w:r>
      <w:r w:rsidRPr="0022566C">
        <w:rPr>
          <w:rFonts w:asciiTheme="minorHAnsi" w:hAnsiTheme="minorHAnsi"/>
          <w:spacing w:val="-2"/>
          <w:sz w:val="22"/>
          <w:szCs w:val="22"/>
        </w:rPr>
        <w:t xml:space="preserve"> </w:t>
      </w:r>
      <w:r w:rsidRPr="0022566C">
        <w:rPr>
          <w:rFonts w:asciiTheme="minorHAnsi" w:hAnsiTheme="minorHAnsi"/>
          <w:sz w:val="22"/>
          <w:szCs w:val="22"/>
        </w:rPr>
        <w:t>States.</w:t>
      </w:r>
      <w:r w:rsidRPr="0022566C">
        <w:rPr>
          <w:rFonts w:asciiTheme="minorHAnsi" w:hAnsiTheme="minorHAnsi"/>
          <w:spacing w:val="-1"/>
          <w:sz w:val="22"/>
          <w:szCs w:val="22"/>
        </w:rPr>
        <w:t xml:space="preserve"> </w:t>
      </w:r>
      <w:r w:rsidRPr="0022566C">
        <w:rPr>
          <w:rFonts w:asciiTheme="minorHAnsi" w:hAnsiTheme="minorHAnsi"/>
          <w:sz w:val="22"/>
          <w:szCs w:val="22"/>
        </w:rPr>
        <w:t>The</w:t>
      </w:r>
      <w:r w:rsidRPr="0022566C">
        <w:rPr>
          <w:rFonts w:asciiTheme="minorHAnsi" w:hAnsiTheme="minorHAnsi"/>
          <w:spacing w:val="-3"/>
          <w:sz w:val="22"/>
          <w:szCs w:val="22"/>
        </w:rPr>
        <w:t xml:space="preserve"> </w:t>
      </w:r>
      <w:r w:rsidRPr="0022566C">
        <w:rPr>
          <w:rFonts w:asciiTheme="minorHAnsi" w:hAnsiTheme="minorHAnsi"/>
          <w:sz w:val="22"/>
          <w:szCs w:val="22"/>
        </w:rPr>
        <w:t>Tribal Commission</w:t>
      </w:r>
      <w:r w:rsidRPr="0022566C">
        <w:rPr>
          <w:rFonts w:asciiTheme="minorHAnsi" w:hAnsiTheme="minorHAnsi"/>
          <w:spacing w:val="-2"/>
          <w:sz w:val="22"/>
          <w:szCs w:val="22"/>
        </w:rPr>
        <w:t xml:space="preserve"> </w:t>
      </w:r>
      <w:r w:rsidRPr="0022566C">
        <w:rPr>
          <w:rFonts w:asciiTheme="minorHAnsi" w:hAnsiTheme="minorHAnsi"/>
          <w:sz w:val="22"/>
          <w:szCs w:val="22"/>
        </w:rPr>
        <w:t>was</w:t>
      </w:r>
      <w:r w:rsidRPr="0022566C">
        <w:rPr>
          <w:rFonts w:asciiTheme="minorHAnsi" w:hAnsiTheme="minorHAnsi"/>
          <w:spacing w:val="-2"/>
          <w:sz w:val="22"/>
          <w:szCs w:val="22"/>
        </w:rPr>
        <w:t xml:space="preserve"> </w:t>
      </w:r>
      <w:r w:rsidRPr="0022566C">
        <w:rPr>
          <w:rFonts w:asciiTheme="minorHAnsi" w:hAnsiTheme="minorHAnsi"/>
          <w:sz w:val="22"/>
          <w:szCs w:val="22"/>
        </w:rPr>
        <w:t>encouraged</w:t>
      </w:r>
      <w:r w:rsidRPr="0022566C">
        <w:rPr>
          <w:rFonts w:asciiTheme="minorHAnsi" w:hAnsiTheme="minorHAnsi"/>
          <w:spacing w:val="-2"/>
          <w:sz w:val="22"/>
          <w:szCs w:val="22"/>
        </w:rPr>
        <w:t xml:space="preserve"> </w:t>
      </w:r>
      <w:r w:rsidRPr="0022566C">
        <w:rPr>
          <w:rFonts w:asciiTheme="minorHAnsi" w:hAnsiTheme="minorHAnsi"/>
          <w:sz w:val="22"/>
          <w:szCs w:val="22"/>
        </w:rPr>
        <w:t>to</w:t>
      </w:r>
      <w:r w:rsidRPr="0022566C">
        <w:rPr>
          <w:rFonts w:asciiTheme="minorHAnsi" w:hAnsiTheme="minorHAnsi"/>
          <w:spacing w:val="-2"/>
          <w:sz w:val="22"/>
          <w:szCs w:val="22"/>
        </w:rPr>
        <w:t xml:space="preserve"> </w:t>
      </w:r>
      <w:r w:rsidRPr="0022566C">
        <w:rPr>
          <w:rFonts w:asciiTheme="minorHAnsi" w:hAnsiTheme="minorHAnsi"/>
          <w:sz w:val="22"/>
          <w:szCs w:val="22"/>
        </w:rPr>
        <w:t>see</w:t>
      </w:r>
      <w:r w:rsidRPr="0022566C">
        <w:rPr>
          <w:rFonts w:asciiTheme="minorHAnsi" w:hAnsiTheme="minorHAnsi"/>
          <w:spacing w:val="-3"/>
          <w:sz w:val="22"/>
          <w:szCs w:val="22"/>
        </w:rPr>
        <w:t xml:space="preserve"> </w:t>
      </w:r>
      <w:r w:rsidRPr="0022566C">
        <w:rPr>
          <w:rFonts w:asciiTheme="minorHAnsi" w:hAnsiTheme="minorHAnsi"/>
          <w:sz w:val="22"/>
          <w:szCs w:val="22"/>
        </w:rPr>
        <w:t>provisions</w:t>
      </w:r>
      <w:r w:rsidRPr="0022566C">
        <w:rPr>
          <w:rFonts w:asciiTheme="minorHAnsi" w:hAnsiTheme="minorHAnsi"/>
          <w:spacing w:val="-2"/>
          <w:sz w:val="22"/>
          <w:szCs w:val="22"/>
        </w:rPr>
        <w:t xml:space="preserve"> </w:t>
      </w:r>
      <w:r w:rsidRPr="0022566C">
        <w:rPr>
          <w:rFonts w:asciiTheme="minorHAnsi" w:hAnsiTheme="minorHAnsi"/>
          <w:sz w:val="22"/>
          <w:szCs w:val="22"/>
        </w:rPr>
        <w:t>in</w:t>
      </w:r>
      <w:r w:rsidRPr="0022566C">
        <w:rPr>
          <w:rFonts w:asciiTheme="minorHAnsi" w:hAnsiTheme="minorHAnsi"/>
          <w:spacing w:val="-2"/>
          <w:sz w:val="22"/>
          <w:szCs w:val="22"/>
        </w:rPr>
        <w:t xml:space="preserve"> </w:t>
      </w:r>
      <w:r w:rsidRPr="0022566C">
        <w:rPr>
          <w:rFonts w:asciiTheme="minorHAnsi" w:hAnsiTheme="minorHAnsi"/>
          <w:sz w:val="22"/>
          <w:szCs w:val="22"/>
        </w:rPr>
        <w:t>the</w:t>
      </w:r>
      <w:r w:rsidRPr="0022566C">
        <w:rPr>
          <w:rFonts w:asciiTheme="minorHAnsi" w:hAnsiTheme="minorHAnsi"/>
          <w:spacing w:val="-3"/>
          <w:sz w:val="22"/>
          <w:szCs w:val="22"/>
        </w:rPr>
        <w:t xml:space="preserve"> </w:t>
      </w:r>
      <w:r w:rsidRPr="0022566C">
        <w:rPr>
          <w:rFonts w:asciiTheme="minorHAnsi" w:hAnsiTheme="minorHAnsi"/>
          <w:sz w:val="22"/>
          <w:szCs w:val="22"/>
        </w:rPr>
        <w:t>proposed Public Lands Rule that further the fulfilment of the Bureau’s trust obligation and provide</w:t>
      </w:r>
      <w:r w:rsidRPr="0022566C">
        <w:rPr>
          <w:rFonts w:asciiTheme="minorHAnsi" w:hAnsiTheme="minorHAnsi"/>
          <w:spacing w:val="40"/>
          <w:sz w:val="22"/>
          <w:szCs w:val="22"/>
        </w:rPr>
        <w:t xml:space="preserve"> </w:t>
      </w:r>
      <w:r w:rsidRPr="0022566C">
        <w:rPr>
          <w:rFonts w:asciiTheme="minorHAnsi" w:hAnsiTheme="minorHAnsi"/>
          <w:sz w:val="22"/>
          <w:szCs w:val="22"/>
        </w:rPr>
        <w:t>a meaningful role for Tribes in the management of public lands.</w:t>
      </w:r>
    </w:p>
    <w:p w14:paraId="7BF0F1CA" w14:textId="77777777" w:rsidR="0022566C" w:rsidRPr="0022566C" w:rsidRDefault="0022566C" w:rsidP="0022566C">
      <w:pPr>
        <w:pStyle w:val="BodyText"/>
        <w:rPr>
          <w:rFonts w:asciiTheme="minorHAnsi" w:hAnsiTheme="minorHAnsi"/>
          <w:sz w:val="22"/>
          <w:szCs w:val="22"/>
        </w:rPr>
      </w:pPr>
    </w:p>
    <w:p w14:paraId="780C0BCD" w14:textId="77777777" w:rsidR="0022566C" w:rsidRPr="0022566C" w:rsidRDefault="0022566C" w:rsidP="0022566C">
      <w:pPr>
        <w:pStyle w:val="BodyText"/>
        <w:ind w:right="23"/>
        <w:rPr>
          <w:rFonts w:asciiTheme="minorHAnsi" w:hAnsiTheme="minorHAnsi"/>
          <w:sz w:val="22"/>
          <w:szCs w:val="22"/>
          <w:vertAlign w:val="superscript"/>
        </w:rPr>
      </w:pPr>
      <w:r w:rsidRPr="0022566C">
        <w:rPr>
          <w:rFonts w:asciiTheme="minorHAnsi" w:hAnsiTheme="minorHAnsi"/>
          <w:sz w:val="22"/>
          <w:szCs w:val="22"/>
        </w:rPr>
        <w:t>The Tribal Commission believes the rule’s provisions requiring meaningful Tribal consultation and the incorporation of Indigenous knowledge in the Bureau’s decision making is an essential element that should be continued. Additionally, the Rule’s requirement that Indigenous knowledge be on equal footing with other forms of information is also an essential element to preserve. The rule requires the Bureau to meaningfully consult with Tribes when a management action may impact Tribes and should recognize that each Tribe has special expertise and is uniquely qualified to determine what effects a decision may have on the Tribe and its citizens.</w:t>
      </w:r>
      <w:r w:rsidRPr="0022566C">
        <w:rPr>
          <w:rFonts w:asciiTheme="minorHAnsi" w:hAnsiTheme="minorHAnsi"/>
          <w:sz w:val="22"/>
          <w:szCs w:val="22"/>
          <w:vertAlign w:val="superscript"/>
        </w:rPr>
        <w:t xml:space="preserve"> </w:t>
      </w:r>
    </w:p>
    <w:p w14:paraId="012DA64C" w14:textId="77777777" w:rsidR="0022566C" w:rsidRPr="0022566C" w:rsidRDefault="0022566C" w:rsidP="0022566C">
      <w:pPr>
        <w:pStyle w:val="BodyText"/>
        <w:rPr>
          <w:rFonts w:asciiTheme="minorHAnsi" w:hAnsiTheme="minorHAnsi"/>
          <w:b/>
          <w:bCs/>
          <w:iCs/>
          <w:sz w:val="22"/>
          <w:szCs w:val="22"/>
        </w:rPr>
      </w:pPr>
      <w:bookmarkStart w:id="0" w:name="_bookmark1"/>
      <w:bookmarkEnd w:id="0"/>
    </w:p>
    <w:p w14:paraId="654D8AC2" w14:textId="77777777" w:rsidR="008A0EF4" w:rsidRDefault="0022566C" w:rsidP="008A0EF4">
      <w:pPr>
        <w:pStyle w:val="BodyText"/>
        <w:rPr>
          <w:rFonts w:asciiTheme="minorHAnsi" w:hAnsiTheme="minorHAnsi"/>
          <w:i/>
          <w:sz w:val="22"/>
          <w:szCs w:val="22"/>
        </w:rPr>
      </w:pPr>
      <w:r w:rsidRPr="0022566C">
        <w:rPr>
          <w:rFonts w:asciiTheme="minorHAnsi" w:hAnsiTheme="minorHAnsi"/>
          <w:iCs/>
          <w:sz w:val="22"/>
          <w:szCs w:val="22"/>
        </w:rPr>
        <w:t>Tribal</w:t>
      </w:r>
      <w:r w:rsidRPr="0022566C">
        <w:rPr>
          <w:rFonts w:asciiTheme="minorHAnsi" w:hAnsiTheme="minorHAnsi"/>
          <w:sz w:val="22"/>
          <w:szCs w:val="22"/>
        </w:rPr>
        <w:t xml:space="preserve"> co-stewardship, a pathway for the Bureau to fulfill its trust obligation to Tribes in the management of public lands, is a concept that should </w:t>
      </w:r>
      <w:r w:rsidR="008A0EF4">
        <w:rPr>
          <w:rFonts w:asciiTheme="minorHAnsi" w:hAnsiTheme="minorHAnsi"/>
          <w:sz w:val="22"/>
          <w:szCs w:val="22"/>
        </w:rPr>
        <w:t xml:space="preserve">also </w:t>
      </w:r>
      <w:r w:rsidRPr="0022566C">
        <w:rPr>
          <w:rFonts w:asciiTheme="minorHAnsi" w:hAnsiTheme="minorHAnsi"/>
          <w:sz w:val="22"/>
          <w:szCs w:val="22"/>
        </w:rPr>
        <w:t>be retained. The rule requires the Bureau to consider whether the agency “can identify opportunities for co-stewardship with Tribes” when identifying lands to be put to conservation use.</w:t>
      </w:r>
      <w:r w:rsidRPr="0022566C">
        <w:rPr>
          <w:rFonts w:asciiTheme="minorHAnsi" w:hAnsiTheme="minorHAnsi"/>
          <w:i/>
          <w:sz w:val="22"/>
          <w:szCs w:val="22"/>
        </w:rPr>
        <w:t xml:space="preserve"> </w:t>
      </w:r>
    </w:p>
    <w:p w14:paraId="75EA73DF" w14:textId="77777777" w:rsidR="008A0EF4" w:rsidRDefault="008A0EF4" w:rsidP="008A0EF4">
      <w:pPr>
        <w:pStyle w:val="BodyText"/>
        <w:rPr>
          <w:rFonts w:asciiTheme="minorHAnsi" w:hAnsiTheme="minorHAnsi"/>
          <w:i/>
          <w:sz w:val="22"/>
          <w:szCs w:val="22"/>
        </w:rPr>
      </w:pPr>
    </w:p>
    <w:p w14:paraId="479C0523" w14:textId="206C9C25" w:rsidR="008A0EF4" w:rsidRDefault="0022566C" w:rsidP="008A0EF4">
      <w:pPr>
        <w:pStyle w:val="BodyText"/>
        <w:rPr>
          <w:rFonts w:asciiTheme="minorHAnsi" w:hAnsiTheme="minorHAnsi"/>
          <w:sz w:val="22"/>
          <w:szCs w:val="22"/>
        </w:rPr>
      </w:pPr>
      <w:r w:rsidRPr="0022566C">
        <w:rPr>
          <w:rFonts w:asciiTheme="minorHAnsi" w:hAnsiTheme="minorHAnsi"/>
          <w:sz w:val="22"/>
          <w:szCs w:val="22"/>
        </w:rPr>
        <w:t xml:space="preserve">The Federal Land Policy and Management Act (FLPMA) defines the Bureau’s land management authority and requires that the agency “give priority to the designation and protection of areas of critical environmental concern” when developing and revising resource management plans. The </w:t>
      </w:r>
      <w:r w:rsidRPr="0022566C">
        <w:rPr>
          <w:rFonts w:asciiTheme="minorHAnsi" w:hAnsiTheme="minorHAnsi"/>
          <w:sz w:val="22"/>
          <w:szCs w:val="22"/>
        </w:rPr>
        <w:lastRenderedPageBreak/>
        <w:t xml:space="preserve">statute </w:t>
      </w:r>
      <w:r w:rsidR="008A0EF4">
        <w:rPr>
          <w:rFonts w:asciiTheme="minorHAnsi" w:hAnsiTheme="minorHAnsi"/>
          <w:sz w:val="22"/>
          <w:szCs w:val="22"/>
        </w:rPr>
        <w:t>also</w:t>
      </w:r>
      <w:r w:rsidRPr="0022566C">
        <w:rPr>
          <w:rFonts w:asciiTheme="minorHAnsi" w:hAnsiTheme="minorHAnsi"/>
          <w:sz w:val="22"/>
          <w:szCs w:val="22"/>
        </w:rPr>
        <w:t xml:space="preserve"> directs that “regulations and plans for the protection of public land areas of critical environmental concern be promptly developed.”</w:t>
      </w:r>
      <w:r w:rsidR="008A0EF4" w:rsidRPr="0022566C">
        <w:rPr>
          <w:rFonts w:asciiTheme="minorHAnsi" w:hAnsiTheme="minorHAnsi"/>
          <w:sz w:val="22"/>
          <w:szCs w:val="22"/>
        </w:rPr>
        <w:t xml:space="preserve"> </w:t>
      </w:r>
      <w:r w:rsidRPr="0022566C">
        <w:rPr>
          <w:rFonts w:asciiTheme="minorHAnsi" w:hAnsiTheme="minorHAnsi"/>
          <w:sz w:val="22"/>
          <w:szCs w:val="22"/>
        </w:rPr>
        <w:t xml:space="preserve">The Public Lands Rule is consistent with FLPMA’s mandates </w:t>
      </w:r>
      <w:r w:rsidR="008A0EF4">
        <w:rPr>
          <w:rFonts w:asciiTheme="minorHAnsi" w:hAnsiTheme="minorHAnsi"/>
          <w:sz w:val="22"/>
          <w:szCs w:val="22"/>
        </w:rPr>
        <w:t>that areas of</w:t>
      </w:r>
      <w:r w:rsidRPr="0022566C">
        <w:rPr>
          <w:rFonts w:asciiTheme="minorHAnsi" w:hAnsiTheme="minorHAnsi"/>
          <w:spacing w:val="-4"/>
          <w:sz w:val="22"/>
          <w:szCs w:val="22"/>
        </w:rPr>
        <w:t xml:space="preserve"> </w:t>
      </w:r>
      <w:r w:rsidRPr="0022566C">
        <w:rPr>
          <w:rFonts w:asciiTheme="minorHAnsi" w:hAnsiTheme="minorHAnsi"/>
          <w:sz w:val="22"/>
          <w:szCs w:val="22"/>
        </w:rPr>
        <w:t>critical</w:t>
      </w:r>
      <w:r w:rsidRPr="0022566C">
        <w:rPr>
          <w:rFonts w:asciiTheme="minorHAnsi" w:hAnsiTheme="minorHAnsi"/>
          <w:spacing w:val="-3"/>
          <w:sz w:val="22"/>
          <w:szCs w:val="22"/>
        </w:rPr>
        <w:t xml:space="preserve"> </w:t>
      </w:r>
      <w:r w:rsidRPr="0022566C">
        <w:rPr>
          <w:rFonts w:asciiTheme="minorHAnsi" w:hAnsiTheme="minorHAnsi"/>
          <w:sz w:val="22"/>
          <w:szCs w:val="22"/>
        </w:rPr>
        <w:t>environmental</w:t>
      </w:r>
      <w:r w:rsidRPr="0022566C">
        <w:rPr>
          <w:rFonts w:asciiTheme="minorHAnsi" w:hAnsiTheme="minorHAnsi"/>
          <w:spacing w:val="-3"/>
          <w:sz w:val="22"/>
          <w:szCs w:val="22"/>
        </w:rPr>
        <w:t xml:space="preserve"> </w:t>
      </w:r>
      <w:r w:rsidRPr="0022566C">
        <w:rPr>
          <w:rFonts w:asciiTheme="minorHAnsi" w:hAnsiTheme="minorHAnsi"/>
          <w:sz w:val="22"/>
          <w:szCs w:val="22"/>
        </w:rPr>
        <w:t>concern</w:t>
      </w:r>
      <w:r w:rsidRPr="0022566C">
        <w:rPr>
          <w:rFonts w:asciiTheme="minorHAnsi" w:hAnsiTheme="minorHAnsi"/>
          <w:spacing w:val="-4"/>
          <w:sz w:val="22"/>
          <w:szCs w:val="22"/>
        </w:rPr>
        <w:t xml:space="preserve"> </w:t>
      </w:r>
      <w:r w:rsidRPr="0022566C">
        <w:rPr>
          <w:rFonts w:asciiTheme="minorHAnsi" w:hAnsiTheme="minorHAnsi"/>
          <w:sz w:val="22"/>
          <w:szCs w:val="22"/>
        </w:rPr>
        <w:t>(ACECs)</w:t>
      </w:r>
      <w:r w:rsidRPr="0022566C">
        <w:rPr>
          <w:rFonts w:asciiTheme="minorHAnsi" w:hAnsiTheme="minorHAnsi"/>
          <w:spacing w:val="-4"/>
          <w:sz w:val="22"/>
          <w:szCs w:val="22"/>
        </w:rPr>
        <w:t xml:space="preserve"> </w:t>
      </w:r>
      <w:r w:rsidRPr="0022566C">
        <w:rPr>
          <w:rFonts w:asciiTheme="minorHAnsi" w:hAnsiTheme="minorHAnsi"/>
          <w:sz w:val="22"/>
          <w:szCs w:val="22"/>
        </w:rPr>
        <w:t>be</w:t>
      </w:r>
      <w:r w:rsidRPr="0022566C">
        <w:rPr>
          <w:rFonts w:asciiTheme="minorHAnsi" w:hAnsiTheme="minorHAnsi"/>
          <w:spacing w:val="-3"/>
          <w:sz w:val="22"/>
          <w:szCs w:val="22"/>
        </w:rPr>
        <w:t xml:space="preserve"> </w:t>
      </w:r>
      <w:r w:rsidRPr="0022566C">
        <w:rPr>
          <w:rFonts w:asciiTheme="minorHAnsi" w:hAnsiTheme="minorHAnsi"/>
          <w:sz w:val="22"/>
          <w:szCs w:val="22"/>
        </w:rPr>
        <w:t>“the</w:t>
      </w:r>
      <w:r w:rsidRPr="0022566C">
        <w:rPr>
          <w:rFonts w:asciiTheme="minorHAnsi" w:hAnsiTheme="minorHAnsi"/>
          <w:spacing w:val="-4"/>
          <w:sz w:val="22"/>
          <w:szCs w:val="22"/>
        </w:rPr>
        <w:t xml:space="preserve"> </w:t>
      </w:r>
      <w:r w:rsidRPr="0022566C">
        <w:rPr>
          <w:rFonts w:asciiTheme="minorHAnsi" w:hAnsiTheme="minorHAnsi"/>
          <w:sz w:val="22"/>
          <w:szCs w:val="22"/>
        </w:rPr>
        <w:t>principal designation for protecting important natural, cultural, and scenic resources.” The Tribal Commission strongly encourages the Bureau to retain these provisions.</w:t>
      </w:r>
      <w:r w:rsidR="00DC61E5">
        <w:rPr>
          <w:rFonts w:asciiTheme="minorHAnsi" w:hAnsiTheme="minorHAnsi"/>
          <w:sz w:val="22"/>
          <w:szCs w:val="22"/>
        </w:rPr>
        <w:t xml:space="preserve"> </w:t>
      </w:r>
      <w:r w:rsidR="00DC61E5">
        <w:rPr>
          <w:rFonts w:asciiTheme="minorHAnsi" w:hAnsiTheme="minorHAnsi"/>
          <w:sz w:val="22"/>
          <w:szCs w:val="22"/>
        </w:rPr>
        <w:t>The Commission</w:t>
      </w:r>
      <w:r w:rsidR="00DC61E5">
        <w:rPr>
          <w:rFonts w:asciiTheme="minorHAnsi" w:hAnsiTheme="minorHAnsi"/>
          <w:sz w:val="22"/>
          <w:szCs w:val="22"/>
        </w:rPr>
        <w:t xml:space="preserve"> </w:t>
      </w:r>
      <w:r w:rsidR="00DC61E5">
        <w:rPr>
          <w:rFonts w:asciiTheme="minorHAnsi" w:hAnsiTheme="minorHAnsi"/>
          <w:sz w:val="22"/>
          <w:szCs w:val="22"/>
        </w:rPr>
        <w:t xml:space="preserve">encourages </w:t>
      </w:r>
      <w:r w:rsidR="00DC61E5">
        <w:rPr>
          <w:rFonts w:asciiTheme="minorHAnsi" w:hAnsiTheme="minorHAnsi"/>
          <w:sz w:val="22"/>
          <w:szCs w:val="22"/>
        </w:rPr>
        <w:t xml:space="preserve">Alaska’s </w:t>
      </w:r>
      <w:r w:rsidR="00DC61E5">
        <w:rPr>
          <w:rFonts w:asciiTheme="minorHAnsi" w:hAnsiTheme="minorHAnsi"/>
          <w:sz w:val="22"/>
          <w:szCs w:val="22"/>
        </w:rPr>
        <w:t>Tribes to write to the Bureau asking for this important rule to be retained.</w:t>
      </w:r>
    </w:p>
    <w:p w14:paraId="4430C15D" w14:textId="77777777" w:rsidR="008A0EF4" w:rsidRDefault="008A0EF4" w:rsidP="008A0EF4">
      <w:pPr>
        <w:pStyle w:val="BodyText"/>
        <w:rPr>
          <w:rFonts w:asciiTheme="minorHAnsi" w:hAnsiTheme="minorHAnsi"/>
          <w:sz w:val="22"/>
          <w:szCs w:val="22"/>
        </w:rPr>
      </w:pPr>
    </w:p>
    <w:p w14:paraId="0411B66B" w14:textId="2499B565" w:rsidR="0022566C" w:rsidRPr="008A0EF4" w:rsidRDefault="0022566C" w:rsidP="008A0EF4">
      <w:pPr>
        <w:pStyle w:val="BodyText"/>
        <w:rPr>
          <w:rFonts w:asciiTheme="minorHAnsi" w:hAnsiTheme="minorHAnsi"/>
          <w:i/>
          <w:sz w:val="22"/>
          <w:szCs w:val="22"/>
        </w:rPr>
      </w:pPr>
      <w:r w:rsidRPr="0022566C">
        <w:rPr>
          <w:rFonts w:asciiTheme="minorHAnsi" w:hAnsiTheme="minorHAnsi"/>
          <w:sz w:val="22"/>
          <w:szCs w:val="22"/>
        </w:rPr>
        <w:t>The</w:t>
      </w:r>
      <w:r w:rsidRPr="0022566C">
        <w:rPr>
          <w:rFonts w:asciiTheme="minorHAnsi" w:hAnsiTheme="minorHAnsi"/>
          <w:spacing w:val="-5"/>
          <w:sz w:val="22"/>
          <w:szCs w:val="22"/>
        </w:rPr>
        <w:t xml:space="preserve"> </w:t>
      </w:r>
      <w:r w:rsidRPr="0022566C">
        <w:rPr>
          <w:rFonts w:asciiTheme="minorHAnsi" w:hAnsiTheme="minorHAnsi"/>
          <w:sz w:val="22"/>
          <w:szCs w:val="22"/>
        </w:rPr>
        <w:t>Tribal</w:t>
      </w:r>
      <w:r w:rsidRPr="0022566C">
        <w:rPr>
          <w:rFonts w:asciiTheme="minorHAnsi" w:hAnsiTheme="minorHAnsi"/>
          <w:spacing w:val="-4"/>
          <w:sz w:val="22"/>
          <w:szCs w:val="22"/>
        </w:rPr>
        <w:t xml:space="preserve"> </w:t>
      </w:r>
      <w:r w:rsidRPr="0022566C">
        <w:rPr>
          <w:rFonts w:asciiTheme="minorHAnsi" w:hAnsiTheme="minorHAnsi"/>
          <w:sz w:val="22"/>
          <w:szCs w:val="22"/>
        </w:rPr>
        <w:t>Commission</w:t>
      </w:r>
      <w:r w:rsidRPr="0022566C">
        <w:rPr>
          <w:rFonts w:asciiTheme="minorHAnsi" w:hAnsiTheme="minorHAnsi"/>
          <w:spacing w:val="-4"/>
          <w:sz w:val="22"/>
          <w:szCs w:val="22"/>
        </w:rPr>
        <w:t xml:space="preserve"> </w:t>
      </w:r>
      <w:r w:rsidRPr="0022566C">
        <w:rPr>
          <w:rFonts w:asciiTheme="minorHAnsi" w:hAnsiTheme="minorHAnsi"/>
          <w:sz w:val="22"/>
          <w:szCs w:val="22"/>
        </w:rPr>
        <w:t>strongly opposes the proposal to rescind the</w:t>
      </w:r>
      <w:r w:rsidRPr="0022566C">
        <w:rPr>
          <w:rFonts w:asciiTheme="minorHAnsi" w:hAnsiTheme="minorHAnsi"/>
          <w:spacing w:val="-4"/>
          <w:sz w:val="22"/>
          <w:szCs w:val="22"/>
        </w:rPr>
        <w:t xml:space="preserve"> </w:t>
      </w:r>
      <w:r w:rsidRPr="0022566C">
        <w:rPr>
          <w:rFonts w:asciiTheme="minorHAnsi" w:hAnsiTheme="minorHAnsi"/>
          <w:sz w:val="22"/>
          <w:szCs w:val="22"/>
        </w:rPr>
        <w:t>Public</w:t>
      </w:r>
      <w:r w:rsidRPr="0022566C">
        <w:rPr>
          <w:rFonts w:asciiTheme="minorHAnsi" w:hAnsiTheme="minorHAnsi"/>
          <w:spacing w:val="-5"/>
          <w:sz w:val="22"/>
          <w:szCs w:val="22"/>
        </w:rPr>
        <w:t xml:space="preserve"> </w:t>
      </w:r>
      <w:r w:rsidRPr="0022566C">
        <w:rPr>
          <w:rFonts w:asciiTheme="minorHAnsi" w:hAnsiTheme="minorHAnsi"/>
          <w:sz w:val="22"/>
          <w:szCs w:val="22"/>
        </w:rPr>
        <w:t>Lands</w:t>
      </w:r>
      <w:r w:rsidRPr="0022566C">
        <w:rPr>
          <w:rFonts w:asciiTheme="minorHAnsi" w:hAnsiTheme="minorHAnsi"/>
          <w:spacing w:val="-4"/>
          <w:sz w:val="22"/>
          <w:szCs w:val="22"/>
        </w:rPr>
        <w:t xml:space="preserve"> </w:t>
      </w:r>
      <w:r w:rsidR="00DC61E5">
        <w:rPr>
          <w:rFonts w:asciiTheme="minorHAnsi" w:hAnsiTheme="minorHAnsi"/>
          <w:spacing w:val="-4"/>
          <w:sz w:val="22"/>
          <w:szCs w:val="22"/>
        </w:rPr>
        <w:t xml:space="preserve">Rule </w:t>
      </w:r>
      <w:r w:rsidRPr="0022566C">
        <w:rPr>
          <w:rFonts w:asciiTheme="minorHAnsi" w:hAnsiTheme="minorHAnsi"/>
          <w:sz w:val="22"/>
          <w:szCs w:val="22"/>
        </w:rPr>
        <w:t>and</w:t>
      </w:r>
      <w:r w:rsidRPr="0022566C">
        <w:rPr>
          <w:rFonts w:asciiTheme="minorHAnsi" w:hAnsiTheme="minorHAnsi"/>
          <w:spacing w:val="-4"/>
          <w:sz w:val="22"/>
          <w:szCs w:val="22"/>
        </w:rPr>
        <w:t xml:space="preserve"> </w:t>
      </w:r>
      <w:r w:rsidRPr="0022566C">
        <w:rPr>
          <w:rFonts w:asciiTheme="minorHAnsi" w:hAnsiTheme="minorHAnsi"/>
          <w:sz w:val="22"/>
          <w:szCs w:val="22"/>
        </w:rPr>
        <w:t xml:space="preserve">encourages the agency to retain the rule to meet its trust responsibility with Tribes and other essential lawful FLPMA requirements. </w:t>
      </w:r>
      <w:r w:rsidR="00DC61E5">
        <w:rPr>
          <w:rFonts w:asciiTheme="minorHAnsi" w:hAnsiTheme="minorHAnsi"/>
          <w:sz w:val="22"/>
          <w:szCs w:val="22"/>
        </w:rPr>
        <w:t xml:space="preserve"> </w:t>
      </w:r>
    </w:p>
    <w:p w14:paraId="023382DC" w14:textId="77777777" w:rsidR="0022566C" w:rsidRPr="0022566C" w:rsidRDefault="0022566C" w:rsidP="0022566C">
      <w:pPr>
        <w:spacing w:after="0" w:line="240" w:lineRule="auto"/>
        <w:rPr>
          <w:sz w:val="22"/>
          <w:szCs w:val="22"/>
        </w:rPr>
      </w:pPr>
    </w:p>
    <w:sectPr w:rsidR="0022566C" w:rsidRPr="00225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C"/>
    <w:rsid w:val="0022566C"/>
    <w:rsid w:val="00756D9D"/>
    <w:rsid w:val="008A0EF4"/>
    <w:rsid w:val="00C23A2E"/>
    <w:rsid w:val="00DC61E5"/>
    <w:rsid w:val="00F65501"/>
    <w:rsid w:val="00FF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572D"/>
  <w15:chartTrackingRefBased/>
  <w15:docId w15:val="{A50E1EAA-91F9-433C-BEFE-35CD769A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66C"/>
    <w:rPr>
      <w:rFonts w:eastAsiaTheme="majorEastAsia" w:cstheme="majorBidi"/>
      <w:color w:val="272727" w:themeColor="text1" w:themeTint="D8"/>
    </w:rPr>
  </w:style>
  <w:style w:type="paragraph" w:styleId="Title">
    <w:name w:val="Title"/>
    <w:basedOn w:val="Normal"/>
    <w:next w:val="Normal"/>
    <w:link w:val="TitleChar"/>
    <w:uiPriority w:val="10"/>
    <w:qFormat/>
    <w:rsid w:val="0022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66C"/>
    <w:pPr>
      <w:spacing w:before="160"/>
      <w:jc w:val="center"/>
    </w:pPr>
    <w:rPr>
      <w:i/>
      <w:iCs/>
      <w:color w:val="404040" w:themeColor="text1" w:themeTint="BF"/>
    </w:rPr>
  </w:style>
  <w:style w:type="character" w:customStyle="1" w:styleId="QuoteChar">
    <w:name w:val="Quote Char"/>
    <w:basedOn w:val="DefaultParagraphFont"/>
    <w:link w:val="Quote"/>
    <w:uiPriority w:val="29"/>
    <w:rsid w:val="0022566C"/>
    <w:rPr>
      <w:i/>
      <w:iCs/>
      <w:color w:val="404040" w:themeColor="text1" w:themeTint="BF"/>
    </w:rPr>
  </w:style>
  <w:style w:type="paragraph" w:styleId="ListParagraph">
    <w:name w:val="List Paragraph"/>
    <w:basedOn w:val="Normal"/>
    <w:uiPriority w:val="34"/>
    <w:qFormat/>
    <w:rsid w:val="0022566C"/>
    <w:pPr>
      <w:ind w:left="720"/>
      <w:contextualSpacing/>
    </w:pPr>
  </w:style>
  <w:style w:type="character" w:styleId="IntenseEmphasis">
    <w:name w:val="Intense Emphasis"/>
    <w:basedOn w:val="DefaultParagraphFont"/>
    <w:uiPriority w:val="21"/>
    <w:qFormat/>
    <w:rsid w:val="0022566C"/>
    <w:rPr>
      <w:i/>
      <w:iCs/>
      <w:color w:val="0F4761" w:themeColor="accent1" w:themeShade="BF"/>
    </w:rPr>
  </w:style>
  <w:style w:type="paragraph" w:styleId="IntenseQuote">
    <w:name w:val="Intense Quote"/>
    <w:basedOn w:val="Normal"/>
    <w:next w:val="Normal"/>
    <w:link w:val="IntenseQuoteChar"/>
    <w:uiPriority w:val="30"/>
    <w:qFormat/>
    <w:rsid w:val="00225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66C"/>
    <w:rPr>
      <w:i/>
      <w:iCs/>
      <w:color w:val="0F4761" w:themeColor="accent1" w:themeShade="BF"/>
    </w:rPr>
  </w:style>
  <w:style w:type="character" w:styleId="IntenseReference">
    <w:name w:val="Intense Reference"/>
    <w:basedOn w:val="DefaultParagraphFont"/>
    <w:uiPriority w:val="32"/>
    <w:qFormat/>
    <w:rsid w:val="0022566C"/>
    <w:rPr>
      <w:b/>
      <w:bCs/>
      <w:smallCaps/>
      <w:color w:val="0F4761" w:themeColor="accent1" w:themeShade="BF"/>
      <w:spacing w:val="5"/>
    </w:rPr>
  </w:style>
  <w:style w:type="paragraph" w:styleId="BodyText">
    <w:name w:val="Body Text"/>
    <w:basedOn w:val="Normal"/>
    <w:link w:val="BodyTextChar"/>
    <w:uiPriority w:val="1"/>
    <w:qFormat/>
    <w:rsid w:val="0022566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2566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6B2D-937C-4484-80D9-0E7CA155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3686</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Little</dc:creator>
  <cp:keywords/>
  <dc:description/>
  <cp:lastModifiedBy>Suzanne Little</cp:lastModifiedBy>
  <cp:revision>2</cp:revision>
  <dcterms:created xsi:type="dcterms:W3CDTF">2025-10-21T20:02:00Z</dcterms:created>
  <dcterms:modified xsi:type="dcterms:W3CDTF">2025-10-21T20:02:00Z</dcterms:modified>
</cp:coreProperties>
</file>